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46100" w:rsidRDefault="00000000">
      <w:r>
        <w:rPr>
          <w:b/>
          <w:color w:val="5B7078"/>
          <w:sz w:val="20"/>
        </w:rPr>
        <w:t>FOR IMMEDIATE RELEASE</w:t>
      </w:r>
    </w:p>
    <w:p w:rsidR="00946100" w:rsidRDefault="00000000">
      <w:pPr>
        <w:spacing w:after="120"/>
      </w:pPr>
      <w:r>
        <w:rPr>
          <w:b/>
          <w:color w:val="0C2B4D"/>
          <w:sz w:val="34"/>
        </w:rPr>
        <w:t>European Pickleball Federation and International Pickleball Teaching Professional Association Announce Strategic Collaboration in Coaching Education</w:t>
      </w:r>
    </w:p>
    <w:p w:rsidR="00946100" w:rsidRDefault="00000000">
      <w:pPr>
        <w:spacing w:after="280"/>
      </w:pPr>
      <w:r>
        <w:rPr>
          <w:i/>
          <w:color w:val="5B7078"/>
          <w:sz w:val="24"/>
        </w:rPr>
        <w:t>Collaboration integrates specific evidence-based scientific content into IPTPA’s established certification pathway, beginning with Level I courses across EPF’s Territory in Europe</w:t>
      </w:r>
    </w:p>
    <w:p w:rsidR="00946100" w:rsidRDefault="00000000">
      <w:r>
        <w:t xml:space="preserve">HOWALD, LUXEMBOURG / RIVERWOODS, ILLINOIS — July </w:t>
      </w:r>
      <w:r w:rsidR="00570657">
        <w:t>9</w:t>
      </w:r>
      <w:r>
        <w:t>, 2026 — The European Pickleball Federation (“EPF”) and the International Pickleball Teaching Professional Association (“IPTPA”) today announced a strategic collaboration to further develop IPTPA’s coaching education programs. The collaboration seeks to advance the ongoing evolution of IPTPA’s already well-established and internationally recognized certification pathway by integrating additional scientific depth, with an initial agreement covering IPTPA Level I courses delivered in Europe.</w:t>
      </w:r>
    </w:p>
    <w:p w:rsidR="00946100" w:rsidRDefault="00000000">
      <w:r>
        <w:t>As with all educational systems, continuous refinement is essential to respond to the evolving demands of a rapidly growing sport. The collaboration is designed to support the continued advancement of the coaching framework.</w:t>
      </w:r>
    </w:p>
    <w:p w:rsidR="00946100" w:rsidRDefault="00000000">
      <w:r>
        <w:t>The core purpose of the collaboration is to integrate specific evidence-based scientific content into IPTPA’s established certification structure. EPF will contribute research-informed content grounded in contemporary sport science, coach-education research, and high-performance principles. These modules cover safeguarding in sport, physical fitness for pickleball, motivation and goal setting, core coaching skills, and the fundamentals of coaching — ensuring alignment with international best practices. IPTPA’s existing certification infrastructure and Learning Management System will continue to be used for delivery and certification, maintaining operational consistency and worldwide recognition.</w:t>
      </w:r>
    </w:p>
    <w:p w:rsidR="00946100" w:rsidRDefault="00000000">
      <w:r>
        <w:t>IPTPA will continue to operate and administer the courses, deliver instruction, manage registrations, and issue certifications. Under the new agreement, certifications issued through the enhanced program will carry both the IPTPA and EPF logos, reflecting the collaborative nature of the curriculum.</w:t>
      </w:r>
    </w:p>
    <w:p w:rsidR="00946100" w:rsidRDefault="00000000">
      <w:r>
        <w:t>“This partnership allows us to bring EPF’s academic and scientific expertise directly into coach education across Europe, raising the standard of instruction our member federations and players can rely on,” said Frank Arico, President of the EPF. “We’re proud to combine IPTPA’s decade of certification experience with EPF’s sport-science foundation to build something stronger for coaches and players together.”</w:t>
      </w:r>
    </w:p>
    <w:p w:rsidR="00946100" w:rsidRDefault="00000000">
      <w:r>
        <w:t xml:space="preserve">“IPTPA has spent a decade building the world standard for pickleball coach certification,” said Seymour Rifkind, President of the IPTPA. “Partnering with the EPF lets us deepen that curriculum with rigorous, </w:t>
      </w:r>
      <w:r>
        <w:lastRenderedPageBreak/>
        <w:t>academically grounded content while continuing to deliver our Level I program to instructors across Europe.”</w:t>
      </w:r>
    </w:p>
    <w:p w:rsidR="00946100" w:rsidRDefault="00000000">
      <w:pPr>
        <w:spacing w:after="240"/>
      </w:pPr>
      <w:r>
        <w:t>The two organizations will begin rolling out the enhanced Level I curriculum in the coming months, with the first joint courses expected to be scheduled across Europe later this year. Additional information on course dates and locations will be announced through EPF’s national member federations and IPTPA’s official channels.</w:t>
      </w:r>
    </w:p>
    <w:p w:rsidR="00946100" w:rsidRDefault="00000000">
      <w:pPr>
        <w:spacing w:before="80" w:after="240"/>
        <w:jc w:val="center"/>
      </w:pPr>
      <w:r>
        <w:rPr>
          <w:color w:val="5B7078"/>
        </w:rPr>
        <w:t># # #</w:t>
      </w:r>
    </w:p>
    <w:p w:rsidR="00946100" w:rsidRDefault="00000000">
      <w:pPr>
        <w:spacing w:after="80"/>
      </w:pPr>
      <w:r>
        <w:rPr>
          <w:b/>
          <w:color w:val="0C2B4D"/>
          <w:sz w:val="24"/>
        </w:rPr>
        <w:t>About the EPF</w:t>
      </w:r>
    </w:p>
    <w:p w:rsidR="00946100" w:rsidRDefault="00000000">
      <w:r>
        <w:t>The EPF, a not-for-profit association based at the heart of Europe in Luxembourg, was created in 2023 to bring together all the national entities that promote pickleball throughout Europe and to push for the creation of a single, democratic world federation. More than 35 countries have joined the EPF since its founding, united in supporting initiatives such as singular-structured rankings, training, refereeing, and competition programming. Learn more at epfpb.org.</w:t>
      </w:r>
    </w:p>
    <w:p w:rsidR="00946100" w:rsidRDefault="00000000">
      <w:pPr>
        <w:spacing w:after="80"/>
      </w:pPr>
      <w:r>
        <w:rPr>
          <w:b/>
          <w:color w:val="0C2B4D"/>
          <w:sz w:val="24"/>
        </w:rPr>
        <w:t>About the IPTPA</w:t>
      </w:r>
    </w:p>
    <w:p w:rsidR="00946100" w:rsidRDefault="00000000">
      <w:pPr>
        <w:spacing w:after="240"/>
      </w:pPr>
      <w:r>
        <w:t>Founded in 2015 and headquartered in Riverwoods, Illinois (USA), the IPTPA is a not-for-profit corporation and the world’s leading body of Certified Pickleball Teaching Professionals — more than 5,700 certified teaching professionals across over 90 countries. Recognized as an organization of knowledgeable experts and industry innovators, the IPTPA delivers a structured certification pathway — spanning Level I, Level II, and advanced and specialty designations — alongside an ongoing program of workshops, seminars, and courses that raise the standard of pickleball instruction worldwide. Learn more at iptpa.com.</w:t>
      </w:r>
    </w:p>
    <w:p w:rsidR="00946100" w:rsidRDefault="00000000">
      <w:pPr>
        <w:spacing w:after="80"/>
      </w:pPr>
      <w:r>
        <w:rPr>
          <w:b/>
          <w:color w:val="0C2B4D"/>
          <w:sz w:val="24"/>
        </w:rPr>
        <w:t>Media Contacts</w:t>
      </w:r>
    </w:p>
    <w:p w:rsidR="00946100" w:rsidRDefault="00000000">
      <w:pPr>
        <w:spacing w:after="40"/>
      </w:pPr>
      <w:r>
        <w:t>EPF — Dr. Fatih Dervent, Board Member &amp; Head of Coaching Education · fatih@epfpb.org</w:t>
      </w:r>
    </w:p>
    <w:p w:rsidR="00946100" w:rsidRDefault="00000000">
      <w:pPr>
        <w:spacing w:after="40"/>
      </w:pPr>
      <w:r>
        <w:t>IPTPA — Miguel Montaño, Head of Education · miguel@iptpa.com</w:t>
      </w:r>
    </w:p>
    <w:sectPr w:rsidR="00946100" w:rsidSect="00034616">
      <w:headerReference w:type="default" r:id="rId8"/>
      <w:pgSz w:w="12240" w:h="15840"/>
      <w:pgMar w:top="1008" w:right="1296" w:bottom="1152"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A76CD" w:rsidRDefault="003A76CD">
      <w:pPr>
        <w:spacing w:after="0" w:line="240" w:lineRule="auto"/>
      </w:pPr>
      <w:r>
        <w:separator/>
      </w:r>
    </w:p>
  </w:endnote>
  <w:endnote w:type="continuationSeparator" w:id="0">
    <w:p w:rsidR="003A76CD" w:rsidRDefault="003A76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A2"/>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A76CD" w:rsidRDefault="003A76CD">
      <w:pPr>
        <w:spacing w:after="0" w:line="240" w:lineRule="auto"/>
      </w:pPr>
      <w:r>
        <w:separator/>
      </w:r>
    </w:p>
  </w:footnote>
  <w:footnote w:type="continuationSeparator" w:id="0">
    <w:p w:rsidR="003A76CD" w:rsidRDefault="003A76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46100" w:rsidRDefault="00946100">
    <w:pPr>
      <w:pStyle w:val="Header"/>
    </w:pPr>
  </w:p>
  <w:tbl>
    <w:tblPr>
      <w:tblW w:w="0" w:type="auto"/>
      <w:jc w:val="center"/>
      <w:tblLook w:val="04A0" w:firstRow="1" w:lastRow="0" w:firstColumn="1" w:lastColumn="0" w:noHBand="0" w:noVBand="1"/>
    </w:tblPr>
    <w:tblGrid>
      <w:gridCol w:w="4824"/>
      <w:gridCol w:w="4824"/>
    </w:tblGrid>
    <w:tr w:rsidR="00946100">
      <w:trPr>
        <w:jc w:val="center"/>
      </w:trPr>
      <w:tc>
        <w:tcPr>
          <w:tcW w:w="4824" w:type="dxa"/>
        </w:tcPr>
        <w:p w:rsidR="00946100" w:rsidRDefault="00000000">
          <w:r>
            <w:rPr>
              <w:noProof/>
            </w:rPr>
            <w:drawing>
              <wp:inline distT="0" distB="0" distL="0" distR="0">
                <wp:extent cx="1554480" cy="4766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ptpa.png"/>
                        <pic:cNvPicPr/>
                      </pic:nvPicPr>
                      <pic:blipFill>
                        <a:blip r:embed="rId1"/>
                        <a:stretch>
                          <a:fillRect/>
                        </a:stretch>
                      </pic:blipFill>
                      <pic:spPr>
                        <a:xfrm>
                          <a:off x="0" y="0"/>
                          <a:ext cx="1554480" cy="476635"/>
                        </a:xfrm>
                        <a:prstGeom prst="rect">
                          <a:avLst/>
                        </a:prstGeom>
                      </pic:spPr>
                    </pic:pic>
                  </a:graphicData>
                </a:graphic>
              </wp:inline>
            </w:drawing>
          </w:r>
        </w:p>
      </w:tc>
      <w:tc>
        <w:tcPr>
          <w:tcW w:w="4824" w:type="dxa"/>
        </w:tcPr>
        <w:p w:rsidR="00946100" w:rsidRDefault="00000000">
          <w:pPr>
            <w:jc w:val="right"/>
          </w:pPr>
          <w:r>
            <w:rPr>
              <w:noProof/>
            </w:rPr>
            <w:drawing>
              <wp:inline distT="0" distB="0" distL="0" distR="0">
                <wp:extent cx="1828800" cy="5203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pf.png"/>
                        <pic:cNvPicPr/>
                      </pic:nvPicPr>
                      <pic:blipFill>
                        <a:blip r:embed="rId2"/>
                        <a:stretch>
                          <a:fillRect/>
                        </a:stretch>
                      </pic:blipFill>
                      <pic:spPr>
                        <a:xfrm>
                          <a:off x="0" y="0"/>
                          <a:ext cx="1828800" cy="520390"/>
                        </a:xfrm>
                        <a:prstGeom prst="rect">
                          <a:avLst/>
                        </a:prstGeom>
                      </pic:spPr>
                    </pic:pic>
                  </a:graphicData>
                </a:graphic>
              </wp:inline>
            </w:drawing>
          </w:r>
        </w:p>
      </w:tc>
    </w:tr>
  </w:tbl>
  <w:p w:rsidR="00946100" w:rsidRDefault="00946100">
    <w:pPr>
      <w:pBdr>
        <w:bottom w:val="single" w:sz="6" w:space="1" w:color="0C2B4D"/>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22087152">
    <w:abstractNumId w:val="8"/>
  </w:num>
  <w:num w:numId="2" w16cid:durableId="402802246">
    <w:abstractNumId w:val="6"/>
  </w:num>
  <w:num w:numId="3" w16cid:durableId="1645424339">
    <w:abstractNumId w:val="5"/>
  </w:num>
  <w:num w:numId="4" w16cid:durableId="1591546743">
    <w:abstractNumId w:val="4"/>
  </w:num>
  <w:num w:numId="5" w16cid:durableId="1792943442">
    <w:abstractNumId w:val="7"/>
  </w:num>
  <w:num w:numId="6" w16cid:durableId="215893415">
    <w:abstractNumId w:val="3"/>
  </w:num>
  <w:num w:numId="7" w16cid:durableId="224992369">
    <w:abstractNumId w:val="2"/>
  </w:num>
  <w:num w:numId="8" w16cid:durableId="1179926367">
    <w:abstractNumId w:val="1"/>
  </w:num>
  <w:num w:numId="9" w16cid:durableId="10987967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1"/>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3A76CD"/>
    <w:rsid w:val="00570657"/>
    <w:rsid w:val="0094610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EBB21F9"/>
  <w14:defaultImageDpi w14:val="300"/>
  <w15:docId w15:val="{E0A41D65-A08B-6449-85EB-155580C22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hAnsi="Calibri"/>
      <w:color w:val="1A1A1A"/>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666</Words>
  <Characters>3801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4459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Microsoft Office User</cp:lastModifiedBy>
  <cp:revision>2</cp:revision>
  <dcterms:created xsi:type="dcterms:W3CDTF">2026-07-09T11:50:00Z</dcterms:created>
  <dcterms:modified xsi:type="dcterms:W3CDTF">2026-07-09T11:50:00Z</dcterms:modified>
  <cp:category/>
</cp:coreProperties>
</file>